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FD16" w14:textId="77777777" w:rsidR="00567A33" w:rsidRDefault="00567A33"/>
    <w:p w14:paraId="39D42682" w14:textId="77777777" w:rsidR="00567A33" w:rsidRDefault="00567A33"/>
    <w:p w14:paraId="1AD62A30" w14:textId="77777777" w:rsidR="00567A33" w:rsidRDefault="00567A33"/>
    <w:p w14:paraId="251D2890" w14:textId="77777777"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 w14:paraId="3EA4787F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EDD5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F633" w14:textId="77777777" w:rsidR="00567A33" w:rsidRDefault="00056F53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B2A2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BBDA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9394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 w14:paraId="54F9D9C5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70E9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6D24" w14:textId="77777777" w:rsidR="00567A33" w:rsidRDefault="00E931D4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765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04F4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AE26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10244A96" w14:textId="77777777"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14:paraId="5B4E252C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5FF4EA2A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51C83DA6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09F1F4D5" w14:textId="77777777"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4A3598" w14:textId="77777777"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3F6D420" w14:textId="77777777"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 w14:paraId="1C992DFE" w14:textId="77777777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832C" w14:textId="77777777"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3B861841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225D4B2F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701A0E2E" w14:textId="77777777" w:rsidR="00567A33" w:rsidRPr="00056F53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056F53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329EFF2F" w14:textId="77777777" w:rsidR="00567A33" w:rsidRPr="00056F53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056F53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E931D4" w:rsidRPr="00056F53">
        <w:rPr>
          <w:rFonts w:ascii="Tahoma" w:hAnsi="Tahoma" w:cs="Tahoma"/>
          <w:b/>
          <w:szCs w:val="20"/>
          <w:shd w:val="clear" w:color="auto" w:fill="FFFFFF"/>
        </w:rPr>
        <w:t>30</w:t>
      </w:r>
      <w:r w:rsidRPr="00056F53">
        <w:rPr>
          <w:rFonts w:ascii="Tahoma" w:hAnsi="Tahoma" w:cs="Tahoma"/>
          <w:b/>
          <w:szCs w:val="20"/>
          <w:shd w:val="clear" w:color="auto" w:fill="FFFFFF"/>
        </w:rPr>
        <w:t>.01.2020   </w:t>
      </w:r>
      <w:r w:rsidR="00056F53" w:rsidRPr="00056F53">
        <w:rPr>
          <w:rFonts w:ascii="Tahoma" w:hAnsi="Tahoma" w:cs="Tahoma"/>
          <w:b/>
          <w:szCs w:val="20"/>
          <w:shd w:val="clear" w:color="auto" w:fill="FFFFFF"/>
        </w:rPr>
        <w:t>12</w:t>
      </w:r>
      <w:r w:rsidRPr="00056F53">
        <w:rPr>
          <w:rFonts w:ascii="Tahoma" w:hAnsi="Tahoma" w:cs="Tahoma"/>
          <w:b/>
          <w:szCs w:val="20"/>
          <w:shd w:val="clear" w:color="auto" w:fill="FFFFFF"/>
        </w:rPr>
        <w:t>:</w:t>
      </w:r>
      <w:r w:rsidR="00056F53" w:rsidRPr="00056F53">
        <w:rPr>
          <w:rFonts w:ascii="Tahoma" w:hAnsi="Tahoma" w:cs="Tahoma"/>
          <w:b/>
          <w:szCs w:val="20"/>
          <w:shd w:val="clear" w:color="auto" w:fill="FFFFFF"/>
        </w:rPr>
        <w:t>36</w:t>
      </w:r>
    </w:p>
    <w:p w14:paraId="18B08D50" w14:textId="77777777" w:rsidR="00567A33" w:rsidRPr="00056F53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56F53">
        <w:rPr>
          <w:rFonts w:ascii="Tahoma" w:hAnsi="Tahoma" w:cs="Tahoma"/>
          <w:b/>
          <w:szCs w:val="20"/>
        </w:rPr>
        <w:t>Vprašanje:</w:t>
      </w:r>
    </w:p>
    <w:p w14:paraId="4829E45E" w14:textId="77777777" w:rsidR="00567A33" w:rsidRPr="00056F53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A2ACDBB" w14:textId="77777777" w:rsidR="00567A33" w:rsidRPr="00056F53" w:rsidRDefault="00056F5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56F53">
        <w:rPr>
          <w:rFonts w:ascii="Tahoma" w:hAnsi="Tahoma" w:cs="Tahoma"/>
          <w:color w:val="333333"/>
          <w:szCs w:val="20"/>
          <w:shd w:val="clear" w:color="auto" w:fill="FFFFFF"/>
        </w:rPr>
        <w:t>Ali je izkopani material primeren za nasip?</w:t>
      </w:r>
    </w:p>
    <w:p w14:paraId="272341C5" w14:textId="77777777" w:rsidR="00056F53" w:rsidRPr="00056F53" w:rsidRDefault="00056F5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E9EFD4F" w14:textId="4565FA19" w:rsidR="006A6A91" w:rsidRDefault="006A6A9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46871E8" w14:textId="33F4AB33" w:rsidR="00567A33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056F53">
        <w:rPr>
          <w:rFonts w:ascii="Tahoma" w:hAnsi="Tahoma" w:cs="Tahoma"/>
          <w:b/>
          <w:szCs w:val="20"/>
        </w:rPr>
        <w:t>Odgovor:</w:t>
      </w:r>
    </w:p>
    <w:p w14:paraId="4C589712" w14:textId="77777777" w:rsidR="006178E4" w:rsidRPr="00056F53" w:rsidRDefault="006178E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E67938" w14:textId="4A4B9B84" w:rsidR="00567A33" w:rsidRPr="006178E4" w:rsidRDefault="00EF0C8A" w:rsidP="006178E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6178E4">
        <w:rPr>
          <w:rFonts w:ascii="Tahoma" w:hAnsi="Tahoma" w:cs="Tahoma"/>
          <w:sz w:val="20"/>
          <w:szCs w:val="20"/>
        </w:rPr>
        <w:t xml:space="preserve">Lokacija predmetnega objekta se nahaja na ravninskem poplavnem območju. Predvideva se, da je konstrukcija obstoječega nasipa najmanj delno </w:t>
      </w:r>
      <w:proofErr w:type="spellStart"/>
      <w:r w:rsidRPr="006178E4">
        <w:rPr>
          <w:rFonts w:ascii="Tahoma" w:hAnsi="Tahoma" w:cs="Tahoma"/>
          <w:sz w:val="20"/>
          <w:szCs w:val="20"/>
        </w:rPr>
        <w:t>zaglinjena</w:t>
      </w:r>
      <w:proofErr w:type="spellEnd"/>
      <w:r w:rsidRPr="006178E4">
        <w:rPr>
          <w:rFonts w:ascii="Tahoma" w:hAnsi="Tahoma" w:cs="Tahoma"/>
          <w:sz w:val="20"/>
          <w:szCs w:val="20"/>
        </w:rPr>
        <w:t xml:space="preserve"> oz. zablatena, tako da izkopni material za izvedbo nasipov (krožišče, trasa cestnih navezav) ne bo uporaben. Bo pa izkopni material uporaben za zasipe pri izvedbi infrastrukture izven </w:t>
      </w:r>
      <w:proofErr w:type="spellStart"/>
      <w:r w:rsidRPr="006178E4">
        <w:rPr>
          <w:rFonts w:ascii="Tahoma" w:hAnsi="Tahoma" w:cs="Tahoma"/>
          <w:sz w:val="20"/>
          <w:szCs w:val="20"/>
        </w:rPr>
        <w:t>povoznih</w:t>
      </w:r>
      <w:proofErr w:type="spellEnd"/>
      <w:r w:rsidRPr="006178E4">
        <w:rPr>
          <w:rFonts w:ascii="Tahoma" w:hAnsi="Tahoma" w:cs="Tahoma"/>
          <w:sz w:val="20"/>
          <w:szCs w:val="20"/>
        </w:rPr>
        <w:t xml:space="preserve"> površin.</w:t>
      </w:r>
    </w:p>
    <w:p w14:paraId="65C52C10" w14:textId="41E968B6" w:rsidR="00EF0C8A" w:rsidRPr="006178E4" w:rsidRDefault="00EF0C8A" w:rsidP="006178E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6178E4">
        <w:rPr>
          <w:rFonts w:ascii="Tahoma" w:hAnsi="Tahoma" w:cs="Tahoma"/>
          <w:sz w:val="20"/>
          <w:szCs w:val="20"/>
        </w:rPr>
        <w:t>Projekt predvideva izdelavo nasipov s kamnitim agregatom IV. kategorije, predpostavlja pa se, da je izkopni material večinoma III. kategorije.</w:t>
      </w:r>
    </w:p>
    <w:p w14:paraId="58385008" w14:textId="77777777" w:rsidR="00EF0C8A" w:rsidRPr="006178E4" w:rsidRDefault="00EF0C8A" w:rsidP="006178E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6178E4">
        <w:rPr>
          <w:rFonts w:ascii="Tahoma" w:hAnsi="Tahoma" w:cs="Tahoma"/>
          <w:sz w:val="20"/>
          <w:szCs w:val="20"/>
        </w:rPr>
        <w:t>Vsekakor pa se bo primernost oz. uporabnost izkopnega materiala za eventualno vgradnjo ugotavljala ob prisotnosti geomehanika zunanje in notranje kontrole kakovosti.</w:t>
      </w:r>
    </w:p>
    <w:bookmarkEnd w:id="0"/>
    <w:p w14:paraId="0363242B" w14:textId="77777777" w:rsidR="00567A33" w:rsidRPr="006178E4" w:rsidRDefault="00567A33" w:rsidP="00EF0C8A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sectPr w:rsidR="00567A33" w:rsidRPr="006178E4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F789" w14:textId="77777777" w:rsidR="00166B0E" w:rsidRDefault="00166B0E">
      <w:r>
        <w:separator/>
      </w:r>
    </w:p>
  </w:endnote>
  <w:endnote w:type="continuationSeparator" w:id="0">
    <w:p w14:paraId="6087F59F" w14:textId="77777777" w:rsidR="00166B0E" w:rsidRDefault="001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6F2A" w14:textId="77777777" w:rsidR="00766253" w:rsidRDefault="006178E4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 w14:paraId="0344E440" w14:textId="77777777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CA7C98" w14:textId="77777777" w:rsidR="00766253" w:rsidRDefault="006178E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1AA0FF" w14:textId="77777777" w:rsidR="00766253" w:rsidRDefault="006178E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9F1EF2" w14:textId="77777777" w:rsidR="00766253" w:rsidRDefault="006178E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072E840" w14:textId="19F9CF51"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178E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4F52E9D" w14:textId="77777777" w:rsidR="00766253" w:rsidRDefault="006178E4">
    <w:pPr>
      <w:pStyle w:val="Footer"/>
      <w:rPr>
        <w:rFonts w:ascii="Arial" w:hAnsi="Arial"/>
        <w:sz w:val="2"/>
        <w:lang w:val="en-US"/>
      </w:rPr>
    </w:pPr>
  </w:p>
  <w:p w14:paraId="4D09FBD4" w14:textId="77777777" w:rsidR="00766253" w:rsidRDefault="0061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A3E2" w14:textId="77777777"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 wp14:anchorId="0E90DDF7" wp14:editId="66A0018E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2368809A" wp14:editId="7B1A4984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3A834849" wp14:editId="5978F1C2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5CD671" w14:textId="77777777" w:rsidR="00766253" w:rsidRDefault="0061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8F40" w14:textId="77777777" w:rsidR="00166B0E" w:rsidRDefault="00166B0E">
      <w:r>
        <w:rPr>
          <w:color w:val="000000"/>
        </w:rPr>
        <w:separator/>
      </w:r>
    </w:p>
  </w:footnote>
  <w:footnote w:type="continuationSeparator" w:id="0">
    <w:p w14:paraId="46A96555" w14:textId="77777777" w:rsidR="00166B0E" w:rsidRDefault="0016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FB47" w14:textId="77777777" w:rsidR="00766253" w:rsidRDefault="0061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AC81" w14:textId="77777777"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45344D" wp14:editId="22F43B3A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056F53"/>
    <w:rsid w:val="00166B0E"/>
    <w:rsid w:val="001C7133"/>
    <w:rsid w:val="003E2CC9"/>
    <w:rsid w:val="00567A33"/>
    <w:rsid w:val="006178E4"/>
    <w:rsid w:val="006A6A91"/>
    <w:rsid w:val="008748EF"/>
    <w:rsid w:val="00B57D1D"/>
    <w:rsid w:val="00C7416B"/>
    <w:rsid w:val="00E931D4"/>
    <w:rsid w:val="00EA1741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73FC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C0BBD-0651-4250-878A-B9A977C15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4568A-83D1-4D5E-A67C-EF8E4CED7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63FAE-8689-42F4-B7CF-575208D25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DRSI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5</cp:revision>
  <cp:lastPrinted>2020-02-04T06:06:00Z</cp:lastPrinted>
  <dcterms:created xsi:type="dcterms:W3CDTF">2020-01-30T15:18:00Z</dcterms:created>
  <dcterms:modified xsi:type="dcterms:W3CDTF">2020-02-04T06:06:00Z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